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57DC" w14:textId="4F14D4C9" w:rsidR="002B2CD2" w:rsidRPr="004A0AE6" w:rsidRDefault="00A33193" w:rsidP="002B2CD2">
      <w:r w:rsidRPr="004A0AE6">
        <w:rPr>
          <w:b/>
          <w:bCs/>
        </w:rPr>
        <w:t>Préservation du bois Canada</w:t>
      </w:r>
      <w:r w:rsidRPr="004A0AE6">
        <w:rPr>
          <w:b/>
          <w:bCs/>
        </w:rPr>
        <w:cr/>
      </w:r>
      <w:r w:rsidRPr="004A0AE6">
        <w:rPr>
          <w:b/>
          <w:bCs/>
        </w:rPr>
        <w:br/>
        <w:t>Demande de propositions (DP)</w:t>
      </w:r>
      <w:r w:rsidRPr="004A0AE6">
        <w:rPr>
          <w:b/>
          <w:bCs/>
        </w:rPr>
        <w:cr/>
      </w:r>
      <w:r w:rsidRPr="004A0AE6">
        <w:rPr>
          <w:b/>
          <w:bCs/>
        </w:rPr>
        <w:br/>
        <w:t>Services d’audit des DRT pour le Programme de l’ACCPB.</w:t>
      </w:r>
    </w:p>
    <w:p w14:paraId="10AB4F18" w14:textId="1D6AD953" w:rsidR="002B2CD2" w:rsidRPr="004A0AE6" w:rsidRDefault="002B2CD2" w:rsidP="002B2CD2">
      <w:r w:rsidRPr="004A0AE6">
        <w:rPr>
          <w:b/>
          <w:bCs/>
        </w:rPr>
        <w:t>Date de publication :</w:t>
      </w:r>
      <w:r w:rsidRPr="004A0AE6">
        <w:t xml:space="preserve"> 8 janvier 2025</w:t>
      </w:r>
      <w:r w:rsidRPr="004A0AE6">
        <w:cr/>
      </w:r>
      <w:r w:rsidRPr="004A0AE6">
        <w:br/>
      </w:r>
      <w:r w:rsidRPr="004A0AE6">
        <w:rPr>
          <w:b/>
          <w:bCs/>
        </w:rPr>
        <w:t>Date limite de soumission :</w:t>
      </w:r>
      <w:r w:rsidRPr="004A0AE6">
        <w:t xml:space="preserve"> 29 janvier 2025</w:t>
      </w:r>
    </w:p>
    <w:p w14:paraId="1705F9BA" w14:textId="77777777" w:rsidR="002B2CD2" w:rsidRPr="004A0AE6" w:rsidRDefault="00EA5C07" w:rsidP="002B2CD2">
      <w:r>
        <w:pict w14:anchorId="1505CFDF">
          <v:rect id="_x0000_i1025" style="width:0;height:1.5pt" o:hralign="center" o:hrstd="t" o:hr="t" fillcolor="#a0a0a0" stroked="f"/>
        </w:pict>
      </w:r>
    </w:p>
    <w:p w14:paraId="5B4A1C46" w14:textId="77777777" w:rsidR="002B2CD2" w:rsidRPr="004A0AE6" w:rsidRDefault="002B2CD2" w:rsidP="002B2CD2">
      <w:pPr>
        <w:rPr>
          <w:b/>
          <w:bCs/>
        </w:rPr>
      </w:pPr>
      <w:r w:rsidRPr="004A0AE6">
        <w:rPr>
          <w:b/>
          <w:bCs/>
        </w:rPr>
        <w:t>1. Introduction</w:t>
      </w:r>
    </w:p>
    <w:p w14:paraId="5EA80CA2" w14:textId="3F41F877" w:rsidR="00224E38" w:rsidRPr="004A0AE6" w:rsidRDefault="00224E38" w:rsidP="00224E38">
      <w:r w:rsidRPr="004A0AE6">
        <w:t>Préservation du bois Canada (PBC) sollicite des propositions de professionnels qualifiés pour fournir des services d’audit bilingues (français et anglais) dans le cadre du Programme de l’Autorité canadienne de certification de la préservation du bois (ACCPB), à compter du cycle du printemps 2025.</w:t>
      </w:r>
    </w:p>
    <w:p w14:paraId="6FF97E09" w14:textId="659693B3" w:rsidR="00224E38" w:rsidRPr="004A0AE6" w:rsidRDefault="00224E38" w:rsidP="00224E38">
      <w:r w:rsidRPr="004A0AE6">
        <w:t>Les auditeurs retenus devront s’assurer que toutes les installations certifiées de traitement du bois au Canada sont conformes aux normes énoncées dans les documents de recommandations techniques (DRT) d’Environnement Canada. Cet audit vise à confirmer que les installations adoptent des pratiques respectueuses de l’environnement et suivent les pratiques exemplaires en matière de conception, d’exploitation et de sécurité des travailleurs.</w:t>
      </w:r>
    </w:p>
    <w:p w14:paraId="516521A5" w14:textId="794E80FC" w:rsidR="00224E38" w:rsidRPr="004A0AE6" w:rsidRDefault="00224E38" w:rsidP="00224E38">
      <w:r w:rsidRPr="004A0AE6">
        <w:t>Les proposants qualifiés doivent démontrer leur maîtrise de la conformité environnementale, de l’audit opérationnel et des normes de préservation du bois (CSA O80). Les propositions doivent décrire les qualifications du proposant, sa méthode et son approche pour assurer l’intégrité du processus de certification, ainsi que son expérience dans l’industrie du bois traité sous pression.</w:t>
      </w:r>
    </w:p>
    <w:p w14:paraId="21495A95" w14:textId="195FE086" w:rsidR="002B2CD2" w:rsidRPr="004A0AE6" w:rsidRDefault="002B2CD2" w:rsidP="002B2CD2">
      <w:pPr>
        <w:rPr>
          <w:b/>
          <w:bCs/>
        </w:rPr>
      </w:pPr>
      <w:r w:rsidRPr="004A0AE6">
        <w:rPr>
          <w:b/>
          <w:bCs/>
        </w:rPr>
        <w:t>2. Résumé du pointage pour la certification</w:t>
      </w:r>
    </w:p>
    <w:p w14:paraId="1624DA20" w14:textId="1D89BF1B" w:rsidR="002B2CD2" w:rsidRPr="004A0AE6" w:rsidRDefault="004D6B97" w:rsidP="002B2CD2">
      <w:r w:rsidRPr="004A0AE6">
        <w:t>Le tableau suivant présente les objectifs de score du Programme de l’ACCPB pour les pesticides réglementés par la</w:t>
      </w:r>
      <w:r w:rsidRPr="004A0AE6">
        <w:rPr>
          <w:i/>
          <w:iCs/>
        </w:rPr>
        <w:t xml:space="preserve"> Loi canadienne sur la protection de l’environnement</w:t>
      </w:r>
      <w:r w:rsidRPr="004A0AE6">
        <w:t xml:space="preserve"> (LCPE) et ceux qui ne le sont pas (non-LCPE).</w:t>
      </w:r>
    </w:p>
    <w:p w14:paraId="176EC02B" w14:textId="77777777" w:rsidR="0045329E" w:rsidRPr="004A0AE6" w:rsidRDefault="0045329E" w:rsidP="002B2CD2">
      <w:pPr>
        <w:rPr>
          <w:b/>
          <w:bCs/>
        </w:rPr>
      </w:pPr>
      <w:r w:rsidRPr="004A0AE6">
        <w:rPr>
          <w:noProof/>
        </w:rPr>
        <w:drawing>
          <wp:inline distT="0" distB="0" distL="0" distR="0" wp14:anchorId="4C6FE61B" wp14:editId="7BDB7F2F">
            <wp:extent cx="49149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4900" cy="1314450"/>
                    </a:xfrm>
                    <a:prstGeom prst="rect">
                      <a:avLst/>
                    </a:prstGeom>
                  </pic:spPr>
                </pic:pic>
              </a:graphicData>
            </a:graphic>
          </wp:inline>
        </w:drawing>
      </w:r>
    </w:p>
    <w:p w14:paraId="15610AE6" w14:textId="27197A1F" w:rsidR="002B2CD2" w:rsidRPr="004A0AE6" w:rsidRDefault="002B2CD2" w:rsidP="002B2CD2">
      <w:pPr>
        <w:rPr>
          <w:b/>
          <w:bCs/>
        </w:rPr>
      </w:pPr>
      <w:r w:rsidRPr="004A0AE6">
        <w:rPr>
          <w:b/>
          <w:bCs/>
        </w:rPr>
        <w:lastRenderedPageBreak/>
        <w:t>3. Portée du travail</w:t>
      </w:r>
    </w:p>
    <w:p w14:paraId="46EBDB6B" w14:textId="0BE6E649" w:rsidR="002B2CD2" w:rsidRPr="004A0AE6" w:rsidRDefault="00986407" w:rsidP="002B2CD2">
      <w:r w:rsidRPr="004A0AE6">
        <w:t xml:space="preserve">Les auditeurs retenus effectueront des examens d’audit interne annuels et des audits externes tous les trois ans, au cours d’un cycle d’audit de trois ans pour les 53 usines de traitement du bois sous pression au Canada. Ces services doivent être offerts en français et en anglais. </w:t>
      </w:r>
    </w:p>
    <w:p w14:paraId="1311E8D6" w14:textId="28E05BA6" w:rsidR="008B3063" w:rsidRPr="004A0AE6" w:rsidRDefault="008B3063" w:rsidP="002B2CD2">
      <w:r w:rsidRPr="004A0AE6">
        <w:t>Les auditeurs retenus travailleront en étroite collaboration avec PBC et le comité de l’ACCPB sur toutes les questions relatives au Programme de l’ACCPB (mises à jour des fiches de travail, mises à jour des règlements, appels, nouveaux audits).</w:t>
      </w:r>
    </w:p>
    <w:p w14:paraId="605CD372" w14:textId="2B352D84" w:rsidR="002B2CD2" w:rsidRPr="004A0AE6" w:rsidRDefault="002B2CD2" w:rsidP="002B2CD2">
      <w:pPr>
        <w:rPr>
          <w:b/>
          <w:bCs/>
        </w:rPr>
      </w:pPr>
      <w:r w:rsidRPr="004A0AE6">
        <w:rPr>
          <w:b/>
          <w:bCs/>
        </w:rPr>
        <w:t>4. Coûts</w:t>
      </w:r>
    </w:p>
    <w:p w14:paraId="6428ABAE" w14:textId="525BA1D2" w:rsidR="002B2CD2" w:rsidRPr="004A0AE6" w:rsidRDefault="00C871EF" w:rsidP="002B2CD2">
      <w:r w:rsidRPr="004A0AE6">
        <w:t xml:space="preserve">Fournir une ventilation des coûts pour chaque volet du Programme de l’ACCPB pour la période de </w:t>
      </w:r>
      <w:proofErr w:type="gramStart"/>
      <w:r w:rsidRPr="004A0AE6">
        <w:t>trois ans visée</w:t>
      </w:r>
      <w:proofErr w:type="gramEnd"/>
      <w:r w:rsidRPr="004A0AE6">
        <w:t xml:space="preserve"> par la proposition.</w:t>
      </w:r>
    </w:p>
    <w:p w14:paraId="1541487A" w14:textId="3D880744" w:rsidR="005A7DA0" w:rsidRPr="004A0AE6" w:rsidRDefault="00FD065E" w:rsidP="00F02801">
      <w:pPr>
        <w:spacing w:after="0"/>
        <w:rPr>
          <w:b/>
          <w:bCs/>
        </w:rPr>
      </w:pPr>
      <w:r w:rsidRPr="004A0AE6">
        <w:rPr>
          <w:b/>
          <w:bCs/>
        </w:rPr>
        <w:t>Coûts proposés pour l’audit externe</w:t>
      </w:r>
    </w:p>
    <w:tbl>
      <w:tblPr>
        <w:tblStyle w:val="TableGrid"/>
        <w:tblW w:w="0" w:type="auto"/>
        <w:tblLook w:val="04A0" w:firstRow="1" w:lastRow="0" w:firstColumn="1" w:lastColumn="0" w:noHBand="0" w:noVBand="1"/>
      </w:tblPr>
      <w:tblGrid>
        <w:gridCol w:w="1497"/>
        <w:gridCol w:w="2551"/>
        <w:gridCol w:w="2552"/>
        <w:gridCol w:w="2410"/>
      </w:tblGrid>
      <w:tr w:rsidR="005A7DA0" w:rsidRPr="004A0AE6" w14:paraId="0388D41A" w14:textId="1F348638" w:rsidTr="00F53E09">
        <w:tc>
          <w:tcPr>
            <w:tcW w:w="1413" w:type="dxa"/>
            <w:shd w:val="clear" w:color="auto" w:fill="DAE9F7" w:themeFill="text2" w:themeFillTint="1A"/>
          </w:tcPr>
          <w:p w14:paraId="0E33399D" w14:textId="52AAECAC" w:rsidR="005A7DA0" w:rsidRPr="004A0AE6" w:rsidRDefault="005A7DA0" w:rsidP="00F53E09">
            <w:pPr>
              <w:jc w:val="center"/>
              <w:rPr>
                <w:b/>
                <w:bCs/>
              </w:rPr>
            </w:pPr>
            <w:r w:rsidRPr="004A0AE6">
              <w:rPr>
                <w:b/>
                <w:bCs/>
              </w:rPr>
              <w:t>Nombre d’autoclaves</w:t>
            </w:r>
          </w:p>
        </w:tc>
        <w:tc>
          <w:tcPr>
            <w:tcW w:w="2551" w:type="dxa"/>
            <w:shd w:val="clear" w:color="auto" w:fill="DAE9F7" w:themeFill="text2" w:themeFillTint="1A"/>
          </w:tcPr>
          <w:p w14:paraId="5E35E2EC" w14:textId="641D59FB" w:rsidR="005A7DA0" w:rsidRPr="004A0AE6" w:rsidRDefault="005A7DA0" w:rsidP="00F53E09">
            <w:pPr>
              <w:jc w:val="center"/>
              <w:rPr>
                <w:b/>
                <w:bCs/>
              </w:rPr>
            </w:pPr>
            <w:r w:rsidRPr="004A0AE6">
              <w:rPr>
                <w:b/>
                <w:bCs/>
              </w:rPr>
              <w:t>Score d’audit &gt; 95 %</w:t>
            </w:r>
          </w:p>
        </w:tc>
        <w:tc>
          <w:tcPr>
            <w:tcW w:w="2552" w:type="dxa"/>
            <w:shd w:val="clear" w:color="auto" w:fill="DAE9F7" w:themeFill="text2" w:themeFillTint="1A"/>
          </w:tcPr>
          <w:p w14:paraId="279A749D" w14:textId="77777777" w:rsidR="004A0AE6" w:rsidRDefault="005A7DA0" w:rsidP="00F53E09">
            <w:pPr>
              <w:jc w:val="center"/>
              <w:rPr>
                <w:b/>
                <w:bCs/>
              </w:rPr>
            </w:pPr>
            <w:r w:rsidRPr="004A0AE6">
              <w:rPr>
                <w:b/>
                <w:bCs/>
              </w:rPr>
              <w:t>Score d’audit : </w:t>
            </w:r>
          </w:p>
          <w:p w14:paraId="544F5BFD" w14:textId="4C3EFDC6" w:rsidR="005A7DA0" w:rsidRPr="004A0AE6" w:rsidRDefault="005A7DA0" w:rsidP="00F53E09">
            <w:pPr>
              <w:jc w:val="center"/>
              <w:rPr>
                <w:b/>
                <w:bCs/>
              </w:rPr>
            </w:pPr>
            <w:r w:rsidRPr="004A0AE6">
              <w:rPr>
                <w:b/>
                <w:bCs/>
              </w:rPr>
              <w:t>90 à 95 %</w:t>
            </w:r>
          </w:p>
        </w:tc>
        <w:tc>
          <w:tcPr>
            <w:tcW w:w="2410" w:type="dxa"/>
            <w:shd w:val="clear" w:color="auto" w:fill="DAE9F7" w:themeFill="text2" w:themeFillTint="1A"/>
          </w:tcPr>
          <w:p w14:paraId="3D0DDE52" w14:textId="29440EA6" w:rsidR="005A7DA0" w:rsidRPr="004A0AE6" w:rsidRDefault="00F53E09" w:rsidP="00F53E09">
            <w:pPr>
              <w:jc w:val="center"/>
              <w:rPr>
                <w:b/>
                <w:bCs/>
              </w:rPr>
            </w:pPr>
            <w:r w:rsidRPr="004A0AE6">
              <w:rPr>
                <w:b/>
                <w:bCs/>
              </w:rPr>
              <w:t>Score d’audit &lt; 90 %</w:t>
            </w:r>
          </w:p>
        </w:tc>
      </w:tr>
      <w:tr w:rsidR="005A7DA0" w:rsidRPr="004A0AE6" w14:paraId="3F22C217" w14:textId="648E9B01" w:rsidTr="005A7DA0">
        <w:tc>
          <w:tcPr>
            <w:tcW w:w="1413" w:type="dxa"/>
          </w:tcPr>
          <w:p w14:paraId="333D9F18" w14:textId="70F8835A" w:rsidR="005A7DA0" w:rsidRPr="004A0AE6" w:rsidRDefault="00F53E09" w:rsidP="00F53E09">
            <w:pPr>
              <w:jc w:val="center"/>
            </w:pPr>
            <w:r w:rsidRPr="004A0AE6">
              <w:t>1</w:t>
            </w:r>
          </w:p>
        </w:tc>
        <w:tc>
          <w:tcPr>
            <w:tcW w:w="2551" w:type="dxa"/>
          </w:tcPr>
          <w:p w14:paraId="5E0D37A7" w14:textId="77777777" w:rsidR="005A7DA0" w:rsidRPr="004A0AE6" w:rsidRDefault="005A7DA0" w:rsidP="002B2CD2">
            <w:pPr>
              <w:rPr>
                <w:b/>
                <w:bCs/>
              </w:rPr>
            </w:pPr>
          </w:p>
        </w:tc>
        <w:tc>
          <w:tcPr>
            <w:tcW w:w="2552" w:type="dxa"/>
          </w:tcPr>
          <w:p w14:paraId="3C1CFD00" w14:textId="77777777" w:rsidR="005A7DA0" w:rsidRPr="004A0AE6" w:rsidRDefault="005A7DA0" w:rsidP="002B2CD2">
            <w:pPr>
              <w:rPr>
                <w:b/>
                <w:bCs/>
              </w:rPr>
            </w:pPr>
          </w:p>
        </w:tc>
        <w:tc>
          <w:tcPr>
            <w:tcW w:w="2410" w:type="dxa"/>
          </w:tcPr>
          <w:p w14:paraId="4DDD66E1" w14:textId="77777777" w:rsidR="005A7DA0" w:rsidRPr="004A0AE6" w:rsidRDefault="005A7DA0" w:rsidP="002B2CD2">
            <w:pPr>
              <w:rPr>
                <w:b/>
                <w:bCs/>
              </w:rPr>
            </w:pPr>
          </w:p>
        </w:tc>
      </w:tr>
      <w:tr w:rsidR="005A7DA0" w:rsidRPr="004A0AE6" w14:paraId="54317789" w14:textId="0B6F67B2" w:rsidTr="005A7DA0">
        <w:tc>
          <w:tcPr>
            <w:tcW w:w="1413" w:type="dxa"/>
          </w:tcPr>
          <w:p w14:paraId="337CC512" w14:textId="08D3F8B4" w:rsidR="005A7DA0" w:rsidRPr="004A0AE6" w:rsidRDefault="00F53E09" w:rsidP="00F53E09">
            <w:pPr>
              <w:jc w:val="center"/>
            </w:pPr>
            <w:r w:rsidRPr="004A0AE6">
              <w:t>2</w:t>
            </w:r>
          </w:p>
        </w:tc>
        <w:tc>
          <w:tcPr>
            <w:tcW w:w="2551" w:type="dxa"/>
          </w:tcPr>
          <w:p w14:paraId="54A11FC6" w14:textId="77777777" w:rsidR="005A7DA0" w:rsidRPr="004A0AE6" w:rsidRDefault="005A7DA0" w:rsidP="002B2CD2">
            <w:pPr>
              <w:rPr>
                <w:b/>
                <w:bCs/>
              </w:rPr>
            </w:pPr>
          </w:p>
        </w:tc>
        <w:tc>
          <w:tcPr>
            <w:tcW w:w="2552" w:type="dxa"/>
          </w:tcPr>
          <w:p w14:paraId="444CDFC6" w14:textId="77777777" w:rsidR="005A7DA0" w:rsidRPr="004A0AE6" w:rsidRDefault="005A7DA0" w:rsidP="002B2CD2">
            <w:pPr>
              <w:rPr>
                <w:b/>
                <w:bCs/>
              </w:rPr>
            </w:pPr>
          </w:p>
        </w:tc>
        <w:tc>
          <w:tcPr>
            <w:tcW w:w="2410" w:type="dxa"/>
          </w:tcPr>
          <w:p w14:paraId="4BE9BCC1" w14:textId="77777777" w:rsidR="005A7DA0" w:rsidRPr="004A0AE6" w:rsidRDefault="005A7DA0" w:rsidP="002B2CD2">
            <w:pPr>
              <w:rPr>
                <w:b/>
                <w:bCs/>
              </w:rPr>
            </w:pPr>
          </w:p>
        </w:tc>
      </w:tr>
      <w:tr w:rsidR="005A7DA0" w:rsidRPr="004A0AE6" w14:paraId="496ABBA9" w14:textId="1DE22C60" w:rsidTr="005A7DA0">
        <w:tc>
          <w:tcPr>
            <w:tcW w:w="1413" w:type="dxa"/>
          </w:tcPr>
          <w:p w14:paraId="08C39CFD" w14:textId="46F8BF2C" w:rsidR="005A7DA0" w:rsidRPr="004A0AE6" w:rsidRDefault="00F53E09" w:rsidP="00F53E09">
            <w:pPr>
              <w:jc w:val="center"/>
            </w:pPr>
            <w:r w:rsidRPr="004A0AE6">
              <w:t>3</w:t>
            </w:r>
          </w:p>
        </w:tc>
        <w:tc>
          <w:tcPr>
            <w:tcW w:w="2551" w:type="dxa"/>
          </w:tcPr>
          <w:p w14:paraId="536A3DB2" w14:textId="77777777" w:rsidR="005A7DA0" w:rsidRPr="004A0AE6" w:rsidRDefault="005A7DA0" w:rsidP="002B2CD2">
            <w:pPr>
              <w:rPr>
                <w:b/>
                <w:bCs/>
              </w:rPr>
            </w:pPr>
          </w:p>
        </w:tc>
        <w:tc>
          <w:tcPr>
            <w:tcW w:w="2552" w:type="dxa"/>
          </w:tcPr>
          <w:p w14:paraId="2DCDC0D0" w14:textId="77777777" w:rsidR="005A7DA0" w:rsidRPr="004A0AE6" w:rsidRDefault="005A7DA0" w:rsidP="002B2CD2">
            <w:pPr>
              <w:rPr>
                <w:b/>
                <w:bCs/>
              </w:rPr>
            </w:pPr>
          </w:p>
        </w:tc>
        <w:tc>
          <w:tcPr>
            <w:tcW w:w="2410" w:type="dxa"/>
          </w:tcPr>
          <w:p w14:paraId="08CD1C3F" w14:textId="77777777" w:rsidR="005A7DA0" w:rsidRPr="004A0AE6" w:rsidRDefault="005A7DA0" w:rsidP="002B2CD2">
            <w:pPr>
              <w:rPr>
                <w:b/>
                <w:bCs/>
              </w:rPr>
            </w:pPr>
          </w:p>
        </w:tc>
      </w:tr>
      <w:tr w:rsidR="005A7DA0" w:rsidRPr="004A0AE6" w14:paraId="309E8AD2" w14:textId="440C4220" w:rsidTr="005A7DA0">
        <w:tc>
          <w:tcPr>
            <w:tcW w:w="1413" w:type="dxa"/>
          </w:tcPr>
          <w:p w14:paraId="1EAE22E8" w14:textId="4FCAD426" w:rsidR="005A7DA0" w:rsidRPr="004A0AE6" w:rsidRDefault="00F53E09" w:rsidP="00F53E09">
            <w:pPr>
              <w:jc w:val="center"/>
            </w:pPr>
            <w:r w:rsidRPr="004A0AE6">
              <w:t>4</w:t>
            </w:r>
          </w:p>
        </w:tc>
        <w:tc>
          <w:tcPr>
            <w:tcW w:w="2551" w:type="dxa"/>
          </w:tcPr>
          <w:p w14:paraId="197DCFF6" w14:textId="77777777" w:rsidR="005A7DA0" w:rsidRPr="004A0AE6" w:rsidRDefault="005A7DA0" w:rsidP="002B2CD2">
            <w:pPr>
              <w:rPr>
                <w:b/>
                <w:bCs/>
              </w:rPr>
            </w:pPr>
          </w:p>
        </w:tc>
        <w:tc>
          <w:tcPr>
            <w:tcW w:w="2552" w:type="dxa"/>
          </w:tcPr>
          <w:p w14:paraId="0A9FD441" w14:textId="77777777" w:rsidR="005A7DA0" w:rsidRPr="004A0AE6" w:rsidRDefault="005A7DA0" w:rsidP="002B2CD2">
            <w:pPr>
              <w:rPr>
                <w:b/>
                <w:bCs/>
              </w:rPr>
            </w:pPr>
          </w:p>
        </w:tc>
        <w:tc>
          <w:tcPr>
            <w:tcW w:w="2410" w:type="dxa"/>
          </w:tcPr>
          <w:p w14:paraId="25518CE2" w14:textId="77777777" w:rsidR="005A7DA0" w:rsidRPr="004A0AE6" w:rsidRDefault="005A7DA0" w:rsidP="002B2CD2">
            <w:pPr>
              <w:rPr>
                <w:b/>
                <w:bCs/>
              </w:rPr>
            </w:pPr>
          </w:p>
        </w:tc>
      </w:tr>
      <w:tr w:rsidR="005A7DA0" w:rsidRPr="004A0AE6" w14:paraId="6B62207B" w14:textId="26819EA4" w:rsidTr="005A7DA0">
        <w:tc>
          <w:tcPr>
            <w:tcW w:w="1413" w:type="dxa"/>
          </w:tcPr>
          <w:p w14:paraId="4D405F86" w14:textId="3339957D" w:rsidR="005A7DA0" w:rsidRPr="004A0AE6" w:rsidRDefault="00F53E09" w:rsidP="00F53E09">
            <w:pPr>
              <w:jc w:val="center"/>
            </w:pPr>
            <w:r w:rsidRPr="004A0AE6">
              <w:t>5</w:t>
            </w:r>
          </w:p>
        </w:tc>
        <w:tc>
          <w:tcPr>
            <w:tcW w:w="2551" w:type="dxa"/>
          </w:tcPr>
          <w:p w14:paraId="399D6B3A" w14:textId="77777777" w:rsidR="005A7DA0" w:rsidRPr="004A0AE6" w:rsidRDefault="005A7DA0" w:rsidP="002B2CD2">
            <w:pPr>
              <w:rPr>
                <w:b/>
                <w:bCs/>
              </w:rPr>
            </w:pPr>
          </w:p>
        </w:tc>
        <w:tc>
          <w:tcPr>
            <w:tcW w:w="2552" w:type="dxa"/>
          </w:tcPr>
          <w:p w14:paraId="672757D9" w14:textId="77777777" w:rsidR="005A7DA0" w:rsidRPr="004A0AE6" w:rsidRDefault="005A7DA0" w:rsidP="002B2CD2">
            <w:pPr>
              <w:rPr>
                <w:b/>
                <w:bCs/>
              </w:rPr>
            </w:pPr>
          </w:p>
        </w:tc>
        <w:tc>
          <w:tcPr>
            <w:tcW w:w="2410" w:type="dxa"/>
          </w:tcPr>
          <w:p w14:paraId="55AFBC57" w14:textId="77777777" w:rsidR="005A7DA0" w:rsidRPr="004A0AE6" w:rsidRDefault="005A7DA0" w:rsidP="002B2CD2">
            <w:pPr>
              <w:rPr>
                <w:b/>
                <w:bCs/>
              </w:rPr>
            </w:pPr>
          </w:p>
        </w:tc>
      </w:tr>
    </w:tbl>
    <w:p w14:paraId="6DA1354D" w14:textId="6710EE91" w:rsidR="00C44741" w:rsidRPr="004A0AE6" w:rsidRDefault="008D7189" w:rsidP="002B2CD2">
      <w:r w:rsidRPr="004A0AE6">
        <w:t>Indiquer tous les coûts supplémentaires associés aux installations utilisant plus d’un pesticide.</w:t>
      </w:r>
    </w:p>
    <w:p w14:paraId="65666FE3" w14:textId="7E99D340" w:rsidR="00E96486" w:rsidRPr="004A0AE6" w:rsidRDefault="00E96486" w:rsidP="00F02801">
      <w:pPr>
        <w:spacing w:after="0"/>
        <w:rPr>
          <w:b/>
          <w:bCs/>
        </w:rPr>
      </w:pPr>
      <w:r w:rsidRPr="004A0AE6">
        <w:rPr>
          <w:b/>
          <w:bCs/>
        </w:rPr>
        <w:t>Durée</w:t>
      </w:r>
    </w:p>
    <w:p w14:paraId="31A0F602" w14:textId="15137190" w:rsidR="00E96486" w:rsidRPr="004A0AE6" w:rsidRDefault="00E96486" w:rsidP="00F02801">
      <w:pPr>
        <w:spacing w:after="0"/>
      </w:pPr>
      <w:r w:rsidRPr="004A0AE6">
        <w:t>Indiquer la durée moyenne (en jours) d’un audit externe.</w:t>
      </w:r>
    </w:p>
    <w:p w14:paraId="46B66E91" w14:textId="77777777" w:rsidR="00E96486" w:rsidRPr="004A0AE6" w:rsidRDefault="00E96486" w:rsidP="00F02801">
      <w:pPr>
        <w:spacing w:after="0"/>
      </w:pPr>
    </w:p>
    <w:p w14:paraId="29508044" w14:textId="480E3DD2" w:rsidR="00F02801" w:rsidRPr="004A0AE6" w:rsidRDefault="00F02801" w:rsidP="00F02801">
      <w:pPr>
        <w:spacing w:after="0"/>
        <w:rPr>
          <w:b/>
          <w:bCs/>
        </w:rPr>
      </w:pPr>
      <w:r w:rsidRPr="004A0AE6">
        <w:rPr>
          <w:b/>
          <w:bCs/>
        </w:rPr>
        <w:t>Nouveaux audits</w:t>
      </w:r>
    </w:p>
    <w:p w14:paraId="51A4A4BE" w14:textId="56CA3F8F" w:rsidR="00F02801" w:rsidRPr="004A0AE6" w:rsidRDefault="008D7189" w:rsidP="002B2CD2">
      <w:r w:rsidRPr="004A0AE6">
        <w:t>Indiquer le coût horaire associé aux nouveaux audits.</w:t>
      </w:r>
    </w:p>
    <w:p w14:paraId="4C0D76CA" w14:textId="08BF1086" w:rsidR="00361478" w:rsidRPr="004A0AE6" w:rsidRDefault="00361478" w:rsidP="002B2CD2">
      <w:r w:rsidRPr="004A0AE6">
        <w:rPr>
          <w:b/>
          <w:bCs/>
        </w:rPr>
        <w:t>Coûts supplémentaires</w:t>
      </w:r>
      <w:r w:rsidRPr="004A0AE6">
        <w:br/>
        <w:t xml:space="preserve">Indiquer le coût horaire associé aux tâches supplémentaires telles que l’examen des auditeurs internes, les ajustements apportés au titre du Programme (fiches de travail et règlements), les réunions virtuelles et en personne. </w:t>
      </w:r>
    </w:p>
    <w:p w14:paraId="20CE5BA6" w14:textId="265A5B6C" w:rsidR="00003014" w:rsidRPr="004A0AE6" w:rsidRDefault="00003014" w:rsidP="002B2CD2">
      <w:r w:rsidRPr="004A0AE6">
        <w:rPr>
          <w:b/>
          <w:bCs/>
        </w:rPr>
        <w:t>Formation des auditeurs internes</w:t>
      </w:r>
      <w:r w:rsidRPr="004A0AE6">
        <w:br/>
        <w:t>Indiquer le coût horaire associé à la formation des auditeurs internes.</w:t>
      </w:r>
    </w:p>
    <w:p w14:paraId="15DAA36C" w14:textId="77777777" w:rsidR="008D7189" w:rsidRPr="004A0AE6" w:rsidRDefault="008D7189" w:rsidP="002B2CD2">
      <w:pPr>
        <w:rPr>
          <w:b/>
          <w:bCs/>
        </w:rPr>
      </w:pPr>
      <w:r w:rsidRPr="004A0AE6">
        <w:rPr>
          <w:b/>
          <w:bCs/>
        </w:rPr>
        <w:t>5. Conditions de soumission de la proposition</w:t>
      </w:r>
    </w:p>
    <w:p w14:paraId="723E03BB" w14:textId="0AEED18A" w:rsidR="002B2CD2" w:rsidRPr="004A0AE6" w:rsidRDefault="008D7189" w:rsidP="002B2CD2">
      <w:pPr>
        <w:rPr>
          <w:b/>
          <w:bCs/>
        </w:rPr>
      </w:pPr>
      <w:r w:rsidRPr="004A0AE6">
        <w:t>Inclure les renseignements suivants dans la proposition :</w:t>
      </w:r>
    </w:p>
    <w:p w14:paraId="502200AA" w14:textId="77777777" w:rsidR="002B2CD2" w:rsidRPr="004A0AE6" w:rsidRDefault="002B2CD2" w:rsidP="000D6013">
      <w:pPr>
        <w:numPr>
          <w:ilvl w:val="0"/>
          <w:numId w:val="4"/>
        </w:numPr>
        <w:spacing w:after="0"/>
      </w:pPr>
      <w:r w:rsidRPr="004A0AE6">
        <w:t>Historique de l’entreprise et expérience pertinente.</w:t>
      </w:r>
    </w:p>
    <w:p w14:paraId="43804A9B" w14:textId="77777777" w:rsidR="002B2CD2" w:rsidRPr="004A0AE6" w:rsidRDefault="002B2CD2" w:rsidP="000D6013">
      <w:pPr>
        <w:numPr>
          <w:ilvl w:val="0"/>
          <w:numId w:val="4"/>
        </w:numPr>
        <w:spacing w:after="0"/>
      </w:pPr>
      <w:r w:rsidRPr="004A0AE6">
        <w:t>Approche et méthode proposées.</w:t>
      </w:r>
    </w:p>
    <w:p w14:paraId="7B41255E" w14:textId="22A65403" w:rsidR="001F3A3C" w:rsidRPr="004A0AE6" w:rsidRDefault="001F3A3C" w:rsidP="000D6013">
      <w:pPr>
        <w:numPr>
          <w:ilvl w:val="0"/>
          <w:numId w:val="4"/>
        </w:numPr>
        <w:spacing w:after="0"/>
      </w:pPr>
      <w:r w:rsidRPr="004A0AE6">
        <w:lastRenderedPageBreak/>
        <w:t>Nombre d’auditeurs qui seront affectés au Programme de l’ACCPB.</w:t>
      </w:r>
    </w:p>
    <w:p w14:paraId="2511ABCD" w14:textId="20330928" w:rsidR="008C522E" w:rsidRPr="004A0AE6" w:rsidRDefault="008C522E" w:rsidP="000D6013">
      <w:pPr>
        <w:numPr>
          <w:ilvl w:val="0"/>
          <w:numId w:val="4"/>
        </w:numPr>
        <w:spacing w:after="0"/>
      </w:pPr>
      <w:r w:rsidRPr="004A0AE6">
        <w:t>Preuve d’assurance responsabilité.</w:t>
      </w:r>
    </w:p>
    <w:p w14:paraId="1C3F5451" w14:textId="78359800" w:rsidR="00765B6A" w:rsidRPr="004A0AE6" w:rsidRDefault="00F936F5" w:rsidP="000D6013">
      <w:pPr>
        <w:numPr>
          <w:ilvl w:val="0"/>
          <w:numId w:val="4"/>
        </w:numPr>
        <w:spacing w:after="0"/>
      </w:pPr>
      <w:r w:rsidRPr="004A0AE6">
        <w:t>Lettre d’autorisation des commissions des accidents du travail du Canada.</w:t>
      </w:r>
    </w:p>
    <w:p w14:paraId="2BBAF5C6" w14:textId="77777777" w:rsidR="002B2CD2" w:rsidRPr="004A0AE6" w:rsidRDefault="002B2CD2" w:rsidP="000D6013">
      <w:pPr>
        <w:numPr>
          <w:ilvl w:val="0"/>
          <w:numId w:val="4"/>
        </w:numPr>
        <w:spacing w:after="0"/>
      </w:pPr>
      <w:r w:rsidRPr="004A0AE6">
        <w:t>Échéancier et jalons principaux.</w:t>
      </w:r>
    </w:p>
    <w:p w14:paraId="3E738220" w14:textId="5D8FEE38" w:rsidR="002B2CD2" w:rsidRPr="004A0AE6" w:rsidRDefault="00961E5F" w:rsidP="000D6013">
      <w:pPr>
        <w:numPr>
          <w:ilvl w:val="0"/>
          <w:numId w:val="4"/>
        </w:numPr>
        <w:spacing w:after="0"/>
      </w:pPr>
      <w:r w:rsidRPr="004A0AE6">
        <w:t>Ventilation des coûts.</w:t>
      </w:r>
    </w:p>
    <w:p w14:paraId="7053CD41" w14:textId="73B5D951" w:rsidR="002B2CD2" w:rsidRPr="004A0AE6" w:rsidRDefault="002B2CD2" w:rsidP="000D6013">
      <w:pPr>
        <w:numPr>
          <w:ilvl w:val="0"/>
          <w:numId w:val="4"/>
        </w:numPr>
        <w:spacing w:after="0"/>
      </w:pPr>
      <w:r w:rsidRPr="004A0AE6">
        <w:t xml:space="preserve">Références. </w:t>
      </w:r>
    </w:p>
    <w:p w14:paraId="3CC01317" w14:textId="77777777" w:rsidR="00D44CDA" w:rsidRPr="004A0AE6" w:rsidRDefault="00D44CDA" w:rsidP="002B2CD2">
      <w:pPr>
        <w:rPr>
          <w:b/>
          <w:bCs/>
        </w:rPr>
      </w:pPr>
    </w:p>
    <w:p w14:paraId="06BC7242" w14:textId="77777777" w:rsidR="00D44CDA" w:rsidRPr="004A0AE6" w:rsidRDefault="00D44CDA" w:rsidP="002B2CD2">
      <w:pPr>
        <w:rPr>
          <w:b/>
          <w:bCs/>
        </w:rPr>
      </w:pPr>
    </w:p>
    <w:p w14:paraId="4B9C558C" w14:textId="2FA92350" w:rsidR="002B2CD2" w:rsidRPr="004A0AE6" w:rsidRDefault="00A52FD9" w:rsidP="002B2CD2">
      <w:pPr>
        <w:rPr>
          <w:b/>
          <w:bCs/>
        </w:rPr>
      </w:pPr>
      <w:r w:rsidRPr="004A0AE6">
        <w:rPr>
          <w:b/>
          <w:bCs/>
        </w:rPr>
        <w:t>6. Instructions relatives à la soumission</w:t>
      </w:r>
    </w:p>
    <w:p w14:paraId="478AAF2E" w14:textId="7A623DC2" w:rsidR="002B2CD2" w:rsidRPr="004A0AE6" w:rsidRDefault="00A52FD9" w:rsidP="002B2CD2">
      <w:r w:rsidRPr="004A0AE6">
        <w:t>Les propositions peuvent être soumises :</w:t>
      </w:r>
    </w:p>
    <w:p w14:paraId="2E6F50F4" w14:textId="6F1A9D32" w:rsidR="002B2CD2" w:rsidRPr="004A0AE6" w:rsidRDefault="002B2CD2" w:rsidP="000D6013">
      <w:pPr>
        <w:numPr>
          <w:ilvl w:val="0"/>
          <w:numId w:val="6"/>
        </w:numPr>
        <w:spacing w:after="0"/>
      </w:pPr>
      <w:r w:rsidRPr="004A0AE6">
        <w:rPr>
          <w:b/>
          <w:bCs/>
        </w:rPr>
        <w:t>Date limite de soumission :</w:t>
      </w:r>
      <w:r w:rsidRPr="004A0AE6">
        <w:t xml:space="preserve"> 29 janvier 2025</w:t>
      </w:r>
    </w:p>
    <w:p w14:paraId="7F8160ED" w14:textId="57086158" w:rsidR="002B2CD2" w:rsidRPr="004A0AE6" w:rsidRDefault="002B2CD2" w:rsidP="000D6013">
      <w:pPr>
        <w:numPr>
          <w:ilvl w:val="0"/>
          <w:numId w:val="6"/>
        </w:numPr>
        <w:spacing w:after="0"/>
        <w:rPr>
          <w:i/>
          <w:iCs/>
        </w:rPr>
      </w:pPr>
      <w:r w:rsidRPr="004A0AE6">
        <w:rPr>
          <w:b/>
          <w:bCs/>
        </w:rPr>
        <w:t>Mode de soumission :</w:t>
      </w:r>
      <w:r w:rsidRPr="004A0AE6">
        <w:t xml:space="preserve"> Envoyer les propositions par la poste avec la mention : </w:t>
      </w:r>
      <w:r w:rsidRPr="004A0AE6">
        <w:rPr>
          <w:i/>
          <w:iCs/>
        </w:rPr>
        <w:t>Services d’audit des DRT pour le Programme de l’ACCPB à :</w:t>
      </w:r>
    </w:p>
    <w:p w14:paraId="363398D8" w14:textId="2F16BAFC" w:rsidR="0091294E" w:rsidRPr="004A0AE6" w:rsidRDefault="0091294E" w:rsidP="0091294E">
      <w:pPr>
        <w:numPr>
          <w:ilvl w:val="1"/>
          <w:numId w:val="6"/>
        </w:numPr>
        <w:spacing w:after="0"/>
        <w:rPr>
          <w:i/>
          <w:iCs/>
        </w:rPr>
      </w:pPr>
      <w:r w:rsidRPr="004A0AE6">
        <w:t>Préservation du bois Canada</w:t>
      </w:r>
    </w:p>
    <w:p w14:paraId="02592449" w14:textId="5B791E98" w:rsidR="0091294E" w:rsidRPr="004A0AE6" w:rsidRDefault="007A3016" w:rsidP="0091294E">
      <w:pPr>
        <w:spacing w:after="0"/>
        <w:ind w:left="1440"/>
        <w:rPr>
          <w:lang w:val="en-US"/>
        </w:rPr>
      </w:pPr>
      <w:r w:rsidRPr="004A0AE6">
        <w:rPr>
          <w:lang w:val="en-US"/>
        </w:rPr>
        <w:t>2420, rue Bank, C.P. 141</w:t>
      </w:r>
      <w:r w:rsidRPr="004A0AE6">
        <w:rPr>
          <w:lang w:val="en-US"/>
        </w:rPr>
        <w:br/>
        <w:t>Ottawa (Ontario)</w:t>
      </w:r>
    </w:p>
    <w:p w14:paraId="63B4531F" w14:textId="678B01C5" w:rsidR="007A3016" w:rsidRPr="004A0AE6" w:rsidRDefault="007A3016" w:rsidP="0091294E">
      <w:pPr>
        <w:spacing w:after="0"/>
        <w:ind w:left="1440"/>
        <w:rPr>
          <w:i/>
          <w:iCs/>
        </w:rPr>
      </w:pPr>
      <w:r w:rsidRPr="004A0AE6">
        <w:t>K1V 8S1</w:t>
      </w:r>
    </w:p>
    <w:p w14:paraId="21705E75" w14:textId="70D264BB" w:rsidR="002B2CD2" w:rsidRPr="004A0AE6" w:rsidRDefault="00B529F2" w:rsidP="000D6013">
      <w:pPr>
        <w:numPr>
          <w:ilvl w:val="0"/>
          <w:numId w:val="6"/>
        </w:numPr>
        <w:spacing w:after="0"/>
      </w:pPr>
      <w:r w:rsidRPr="004A0AE6">
        <w:rPr>
          <w:b/>
          <w:bCs/>
        </w:rPr>
        <w:t xml:space="preserve">Trousse d’information </w:t>
      </w:r>
      <w:r w:rsidRPr="004A0AE6">
        <w:t xml:space="preserve">Pour recevoir une trousse d’information (règlements de l’ACCPB, document d’information de l’ACCPB, document de recommandations techniques [DRT]), veuillez communiquer avec Natalie Tarini, </w:t>
      </w:r>
      <w:hyperlink r:id="rId12" w:history="1">
        <w:r w:rsidRPr="004A0AE6">
          <w:rPr>
            <w:rStyle w:val="Hyperlink"/>
          </w:rPr>
          <w:t>natalie@woodpreservation.ca</w:t>
        </w:r>
      </w:hyperlink>
      <w:r w:rsidRPr="004A0AE6">
        <w:t>, 613 737-4337</w:t>
      </w:r>
    </w:p>
    <w:p w14:paraId="63451AA7" w14:textId="77777777" w:rsidR="007665D2" w:rsidRPr="004A0AE6" w:rsidRDefault="007665D2"/>
    <w:p w14:paraId="0CC27658" w14:textId="48D145E6" w:rsidR="00E401ED" w:rsidRPr="004A0AE6" w:rsidRDefault="00E401ED">
      <w:r w:rsidRPr="004A0AE6">
        <w:t xml:space="preserve">Pour en savoir plus sur le Programme de l’ACCPB, visitez </w:t>
      </w:r>
      <w:r w:rsidRPr="004A0AE6">
        <w:rPr>
          <w:u w:val="single"/>
        </w:rPr>
        <w:t>woodpreservation.ca/</w:t>
      </w:r>
      <w:proofErr w:type="spellStart"/>
      <w:r w:rsidRPr="004A0AE6">
        <w:rPr>
          <w:u w:val="single"/>
        </w:rPr>
        <w:t>fr</w:t>
      </w:r>
      <w:proofErr w:type="spellEnd"/>
      <w:r w:rsidRPr="004A0AE6">
        <w:rPr>
          <w:u w:val="single"/>
        </w:rPr>
        <w:t>/</w:t>
      </w:r>
      <w:r w:rsidRPr="004A0AE6">
        <w:t xml:space="preserve">. </w:t>
      </w:r>
    </w:p>
    <w:sectPr w:rsidR="00E401ED" w:rsidRPr="004A0AE6">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D545" w14:textId="77777777" w:rsidR="001841EE" w:rsidRDefault="001841EE" w:rsidP="00D72FDD">
      <w:pPr>
        <w:spacing w:after="0" w:line="240" w:lineRule="auto"/>
      </w:pPr>
      <w:r>
        <w:separator/>
      </w:r>
    </w:p>
  </w:endnote>
  <w:endnote w:type="continuationSeparator" w:id="0">
    <w:p w14:paraId="328C77C7" w14:textId="77777777" w:rsidR="001841EE" w:rsidRDefault="001841EE" w:rsidP="00D72FDD">
      <w:pPr>
        <w:spacing w:after="0" w:line="240" w:lineRule="auto"/>
      </w:pPr>
      <w:r>
        <w:continuationSeparator/>
      </w:r>
    </w:p>
  </w:endnote>
  <w:endnote w:type="continuationNotice" w:id="1">
    <w:p w14:paraId="781FE47C" w14:textId="77777777" w:rsidR="001841EE" w:rsidRDefault="00184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7153" w14:textId="77777777" w:rsidR="001841EE" w:rsidRDefault="001841EE" w:rsidP="00D72FDD">
      <w:pPr>
        <w:spacing w:after="0" w:line="240" w:lineRule="auto"/>
      </w:pPr>
      <w:r>
        <w:separator/>
      </w:r>
    </w:p>
  </w:footnote>
  <w:footnote w:type="continuationSeparator" w:id="0">
    <w:p w14:paraId="48AB1BC0" w14:textId="77777777" w:rsidR="001841EE" w:rsidRDefault="001841EE" w:rsidP="00D72FDD">
      <w:pPr>
        <w:spacing w:after="0" w:line="240" w:lineRule="auto"/>
      </w:pPr>
      <w:r>
        <w:continuationSeparator/>
      </w:r>
    </w:p>
  </w:footnote>
  <w:footnote w:type="continuationNotice" w:id="1">
    <w:p w14:paraId="2D9F02F8" w14:textId="77777777" w:rsidR="001841EE" w:rsidRDefault="00184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6BD2" w14:textId="26DB8225" w:rsidR="00D72FDD" w:rsidRDefault="0045329E">
    <w:pPr>
      <w:pStyle w:val="Header"/>
    </w:pPr>
    <w:r>
      <w:rPr>
        <w:noProof/>
      </w:rPr>
      <w:drawing>
        <wp:anchor distT="0" distB="0" distL="114300" distR="114300" simplePos="0" relativeHeight="251657216" behindDoc="0" locked="0" layoutInCell="1" allowOverlap="1" wp14:anchorId="2C11495B" wp14:editId="1F086732">
          <wp:simplePos x="0" y="0"/>
          <wp:positionH relativeFrom="margin">
            <wp:posOffset>1708785</wp:posOffset>
          </wp:positionH>
          <wp:positionV relativeFrom="paragraph">
            <wp:posOffset>38100</wp:posOffset>
          </wp:positionV>
          <wp:extent cx="1338580" cy="984250"/>
          <wp:effectExtent l="0" t="0" r="0" b="6350"/>
          <wp:wrapSquare wrapText="bothSides"/>
          <wp:docPr id="2130538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38987" name="Picture 2130538987"/>
                  <pic:cNvPicPr/>
                </pic:nvPicPr>
                <pic:blipFill>
                  <a:blip r:embed="rId1">
                    <a:extLst>
                      <a:ext uri="{28A0092B-C50C-407E-A947-70E740481C1C}">
                        <a14:useLocalDpi xmlns:a14="http://schemas.microsoft.com/office/drawing/2010/main" val="0"/>
                      </a:ext>
                    </a:extLst>
                  </a:blip>
                  <a:stretch>
                    <a:fillRect/>
                  </a:stretch>
                </pic:blipFill>
                <pic:spPr>
                  <a:xfrm>
                    <a:off x="0" y="0"/>
                    <a:ext cx="1338580" cy="984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EE0EB2" wp14:editId="559326C1">
          <wp:extent cx="1409700" cy="1234843"/>
          <wp:effectExtent l="0" t="0" r="0" b="3810"/>
          <wp:docPr id="1118329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29346" name="Picture 1118329346"/>
                  <pic:cNvPicPr/>
                </pic:nvPicPr>
                <pic:blipFill>
                  <a:blip r:embed="rId2">
                    <a:extLst>
                      <a:ext uri="{28A0092B-C50C-407E-A947-70E740481C1C}">
                        <a14:useLocalDpi xmlns:a14="http://schemas.microsoft.com/office/drawing/2010/main" val="0"/>
                      </a:ext>
                    </a:extLst>
                  </a:blip>
                  <a:stretch>
                    <a:fillRect/>
                  </a:stretch>
                </pic:blipFill>
                <pic:spPr>
                  <a:xfrm>
                    <a:off x="0" y="0"/>
                    <a:ext cx="1416172" cy="1240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4E04"/>
    <w:multiLevelType w:val="multilevel"/>
    <w:tmpl w:val="60EE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A27A8"/>
    <w:multiLevelType w:val="multilevel"/>
    <w:tmpl w:val="356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51E99"/>
    <w:multiLevelType w:val="multilevel"/>
    <w:tmpl w:val="3592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2124C"/>
    <w:multiLevelType w:val="multilevel"/>
    <w:tmpl w:val="5E7E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D0127"/>
    <w:multiLevelType w:val="multilevel"/>
    <w:tmpl w:val="B19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B3F41"/>
    <w:multiLevelType w:val="multilevel"/>
    <w:tmpl w:val="B89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291835">
    <w:abstractNumId w:val="3"/>
  </w:num>
  <w:num w:numId="2" w16cid:durableId="1711496827">
    <w:abstractNumId w:val="2"/>
  </w:num>
  <w:num w:numId="3" w16cid:durableId="1932398261">
    <w:abstractNumId w:val="4"/>
  </w:num>
  <w:num w:numId="4" w16cid:durableId="398213856">
    <w:abstractNumId w:val="5"/>
  </w:num>
  <w:num w:numId="5" w16cid:durableId="1455102888">
    <w:abstractNumId w:val="1"/>
  </w:num>
  <w:num w:numId="6" w16cid:durableId="154101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D2"/>
    <w:rsid w:val="00003014"/>
    <w:rsid w:val="00035881"/>
    <w:rsid w:val="000408B5"/>
    <w:rsid w:val="000D541B"/>
    <w:rsid w:val="000D6013"/>
    <w:rsid w:val="00110147"/>
    <w:rsid w:val="00131491"/>
    <w:rsid w:val="001841EE"/>
    <w:rsid w:val="001C7722"/>
    <w:rsid w:val="001F3A3C"/>
    <w:rsid w:val="00201CDE"/>
    <w:rsid w:val="00224E38"/>
    <w:rsid w:val="00225472"/>
    <w:rsid w:val="0025291F"/>
    <w:rsid w:val="002B2CD2"/>
    <w:rsid w:val="00361478"/>
    <w:rsid w:val="0037696A"/>
    <w:rsid w:val="00387801"/>
    <w:rsid w:val="003B065F"/>
    <w:rsid w:val="003C3F9B"/>
    <w:rsid w:val="00432243"/>
    <w:rsid w:val="0045329E"/>
    <w:rsid w:val="004A0AE6"/>
    <w:rsid w:val="004D6B97"/>
    <w:rsid w:val="00530D09"/>
    <w:rsid w:val="00531B79"/>
    <w:rsid w:val="0053512D"/>
    <w:rsid w:val="00572ABC"/>
    <w:rsid w:val="00576BB2"/>
    <w:rsid w:val="005A7DA0"/>
    <w:rsid w:val="00613657"/>
    <w:rsid w:val="00634229"/>
    <w:rsid w:val="00643383"/>
    <w:rsid w:val="007522B1"/>
    <w:rsid w:val="00765B6A"/>
    <w:rsid w:val="007665D2"/>
    <w:rsid w:val="007A3016"/>
    <w:rsid w:val="007E4651"/>
    <w:rsid w:val="007F3A06"/>
    <w:rsid w:val="00853184"/>
    <w:rsid w:val="0085336D"/>
    <w:rsid w:val="008B3063"/>
    <w:rsid w:val="008B44F1"/>
    <w:rsid w:val="008C522E"/>
    <w:rsid w:val="008D7189"/>
    <w:rsid w:val="0091294E"/>
    <w:rsid w:val="00934030"/>
    <w:rsid w:val="00947BB1"/>
    <w:rsid w:val="00961E5F"/>
    <w:rsid w:val="00986407"/>
    <w:rsid w:val="0099426A"/>
    <w:rsid w:val="009C0911"/>
    <w:rsid w:val="009D22AE"/>
    <w:rsid w:val="00A33193"/>
    <w:rsid w:val="00A52FD9"/>
    <w:rsid w:val="00AB51F8"/>
    <w:rsid w:val="00B11F0F"/>
    <w:rsid w:val="00B12CE7"/>
    <w:rsid w:val="00B529F2"/>
    <w:rsid w:val="00C4415F"/>
    <w:rsid w:val="00C44741"/>
    <w:rsid w:val="00C871EF"/>
    <w:rsid w:val="00CC0B04"/>
    <w:rsid w:val="00D44CDA"/>
    <w:rsid w:val="00D714A9"/>
    <w:rsid w:val="00D72FDD"/>
    <w:rsid w:val="00D90811"/>
    <w:rsid w:val="00DA20BD"/>
    <w:rsid w:val="00DC5BE5"/>
    <w:rsid w:val="00E27043"/>
    <w:rsid w:val="00E31485"/>
    <w:rsid w:val="00E401ED"/>
    <w:rsid w:val="00E67996"/>
    <w:rsid w:val="00E67D3D"/>
    <w:rsid w:val="00E96486"/>
    <w:rsid w:val="00EA0FB8"/>
    <w:rsid w:val="00EA5C07"/>
    <w:rsid w:val="00EB01D2"/>
    <w:rsid w:val="00EC4A7D"/>
    <w:rsid w:val="00EF5E20"/>
    <w:rsid w:val="00F02801"/>
    <w:rsid w:val="00F15A87"/>
    <w:rsid w:val="00F22141"/>
    <w:rsid w:val="00F53397"/>
    <w:rsid w:val="00F53E09"/>
    <w:rsid w:val="00F936F5"/>
    <w:rsid w:val="00FB266E"/>
    <w:rsid w:val="00FD065E"/>
    <w:rsid w:val="00FE4E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63331B"/>
  <w15:chartTrackingRefBased/>
  <w15:docId w15:val="{67A6EC01-4A05-4A5E-B822-60E9A248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CD2"/>
    <w:rPr>
      <w:rFonts w:eastAsiaTheme="majorEastAsia" w:cstheme="majorBidi"/>
      <w:color w:val="272727" w:themeColor="text1" w:themeTint="D8"/>
    </w:rPr>
  </w:style>
  <w:style w:type="paragraph" w:styleId="Title">
    <w:name w:val="Title"/>
    <w:basedOn w:val="Normal"/>
    <w:next w:val="Normal"/>
    <w:link w:val="TitleChar"/>
    <w:uiPriority w:val="10"/>
    <w:qFormat/>
    <w:rsid w:val="002B2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CD2"/>
    <w:pPr>
      <w:spacing w:before="160"/>
      <w:jc w:val="center"/>
    </w:pPr>
    <w:rPr>
      <w:i/>
      <w:iCs/>
      <w:color w:val="404040" w:themeColor="text1" w:themeTint="BF"/>
    </w:rPr>
  </w:style>
  <w:style w:type="character" w:customStyle="1" w:styleId="QuoteChar">
    <w:name w:val="Quote Char"/>
    <w:basedOn w:val="DefaultParagraphFont"/>
    <w:link w:val="Quote"/>
    <w:uiPriority w:val="29"/>
    <w:rsid w:val="002B2CD2"/>
    <w:rPr>
      <w:i/>
      <w:iCs/>
      <w:color w:val="404040" w:themeColor="text1" w:themeTint="BF"/>
    </w:rPr>
  </w:style>
  <w:style w:type="paragraph" w:styleId="ListParagraph">
    <w:name w:val="List Paragraph"/>
    <w:basedOn w:val="Normal"/>
    <w:uiPriority w:val="34"/>
    <w:qFormat/>
    <w:rsid w:val="002B2CD2"/>
    <w:pPr>
      <w:ind w:left="720"/>
      <w:contextualSpacing/>
    </w:pPr>
  </w:style>
  <w:style w:type="character" w:styleId="IntenseEmphasis">
    <w:name w:val="Intense Emphasis"/>
    <w:basedOn w:val="DefaultParagraphFont"/>
    <w:uiPriority w:val="21"/>
    <w:qFormat/>
    <w:rsid w:val="002B2CD2"/>
    <w:rPr>
      <w:i/>
      <w:iCs/>
      <w:color w:val="0F4761" w:themeColor="accent1" w:themeShade="BF"/>
    </w:rPr>
  </w:style>
  <w:style w:type="paragraph" w:styleId="IntenseQuote">
    <w:name w:val="Intense Quote"/>
    <w:basedOn w:val="Normal"/>
    <w:next w:val="Normal"/>
    <w:link w:val="IntenseQuoteChar"/>
    <w:uiPriority w:val="30"/>
    <w:qFormat/>
    <w:rsid w:val="002B2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CD2"/>
    <w:rPr>
      <w:i/>
      <w:iCs/>
      <w:color w:val="0F4761" w:themeColor="accent1" w:themeShade="BF"/>
    </w:rPr>
  </w:style>
  <w:style w:type="character" w:styleId="IntenseReference">
    <w:name w:val="Intense Reference"/>
    <w:basedOn w:val="DefaultParagraphFont"/>
    <w:uiPriority w:val="32"/>
    <w:qFormat/>
    <w:rsid w:val="002B2CD2"/>
    <w:rPr>
      <w:b/>
      <w:bCs/>
      <w:smallCaps/>
      <w:color w:val="0F4761" w:themeColor="accent1" w:themeShade="BF"/>
      <w:spacing w:val="5"/>
    </w:rPr>
  </w:style>
  <w:style w:type="paragraph" w:styleId="Header">
    <w:name w:val="header"/>
    <w:basedOn w:val="Normal"/>
    <w:link w:val="HeaderChar"/>
    <w:uiPriority w:val="99"/>
    <w:unhideWhenUsed/>
    <w:rsid w:val="00D7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DD"/>
  </w:style>
  <w:style w:type="paragraph" w:styleId="Footer">
    <w:name w:val="footer"/>
    <w:basedOn w:val="Normal"/>
    <w:link w:val="FooterChar"/>
    <w:uiPriority w:val="99"/>
    <w:unhideWhenUsed/>
    <w:rsid w:val="00D7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DD"/>
  </w:style>
  <w:style w:type="table" w:styleId="TableGrid">
    <w:name w:val="Table Grid"/>
    <w:basedOn w:val="TableNormal"/>
    <w:uiPriority w:val="39"/>
    <w:rsid w:val="005A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FD9"/>
    <w:rPr>
      <w:color w:val="467886" w:themeColor="hyperlink"/>
      <w:u w:val="single"/>
    </w:rPr>
  </w:style>
  <w:style w:type="character" w:styleId="UnresolvedMention">
    <w:name w:val="Unresolved Mention"/>
    <w:basedOn w:val="DefaultParagraphFont"/>
    <w:uiPriority w:val="99"/>
    <w:semiHidden/>
    <w:unhideWhenUsed/>
    <w:rsid w:val="00A52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0783">
      <w:bodyDiv w:val="1"/>
      <w:marLeft w:val="0"/>
      <w:marRight w:val="0"/>
      <w:marTop w:val="0"/>
      <w:marBottom w:val="0"/>
      <w:divBdr>
        <w:top w:val="none" w:sz="0" w:space="0" w:color="auto"/>
        <w:left w:val="none" w:sz="0" w:space="0" w:color="auto"/>
        <w:bottom w:val="none" w:sz="0" w:space="0" w:color="auto"/>
        <w:right w:val="none" w:sz="0" w:space="0" w:color="auto"/>
      </w:divBdr>
    </w:div>
    <w:div w:id="331374092">
      <w:bodyDiv w:val="1"/>
      <w:marLeft w:val="0"/>
      <w:marRight w:val="0"/>
      <w:marTop w:val="0"/>
      <w:marBottom w:val="0"/>
      <w:divBdr>
        <w:top w:val="none" w:sz="0" w:space="0" w:color="auto"/>
        <w:left w:val="none" w:sz="0" w:space="0" w:color="auto"/>
        <w:bottom w:val="none" w:sz="0" w:space="0" w:color="auto"/>
        <w:right w:val="none" w:sz="0" w:space="0" w:color="auto"/>
      </w:divBdr>
    </w:div>
    <w:div w:id="990207810">
      <w:bodyDiv w:val="1"/>
      <w:marLeft w:val="0"/>
      <w:marRight w:val="0"/>
      <w:marTop w:val="0"/>
      <w:marBottom w:val="0"/>
      <w:divBdr>
        <w:top w:val="none" w:sz="0" w:space="0" w:color="auto"/>
        <w:left w:val="none" w:sz="0" w:space="0" w:color="auto"/>
        <w:bottom w:val="none" w:sz="0" w:space="0" w:color="auto"/>
        <w:right w:val="none" w:sz="0" w:space="0" w:color="auto"/>
      </w:divBdr>
    </w:div>
    <w:div w:id="1016620548">
      <w:bodyDiv w:val="1"/>
      <w:marLeft w:val="0"/>
      <w:marRight w:val="0"/>
      <w:marTop w:val="0"/>
      <w:marBottom w:val="0"/>
      <w:divBdr>
        <w:top w:val="none" w:sz="0" w:space="0" w:color="auto"/>
        <w:left w:val="none" w:sz="0" w:space="0" w:color="auto"/>
        <w:bottom w:val="none" w:sz="0" w:space="0" w:color="auto"/>
        <w:right w:val="none" w:sz="0" w:space="0" w:color="auto"/>
      </w:divBdr>
    </w:div>
    <w:div w:id="20299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e@woodpreservati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2B31E6796A148A1F8AA101799813F" ma:contentTypeVersion="18" ma:contentTypeDescription="Create a new document." ma:contentTypeScope="" ma:versionID="8722005d911e79e5748f24ef4ffb5ff6">
  <xsd:schema xmlns:xsd="http://www.w3.org/2001/XMLSchema" xmlns:xs="http://www.w3.org/2001/XMLSchema" xmlns:p="http://schemas.microsoft.com/office/2006/metadata/properties" xmlns:ns2="eb32cb3b-21ba-4e5d-b2a9-1d8adc525388" xmlns:ns3="5deb1624-fe9f-49f2-a987-0c7cd63f1cb6" targetNamespace="http://schemas.microsoft.com/office/2006/metadata/properties" ma:root="true" ma:fieldsID="53dd27fee946e3098d15e6460c0523ec" ns2:_="" ns3:_="">
    <xsd:import namespace="eb32cb3b-21ba-4e5d-b2a9-1d8adc525388"/>
    <xsd:import namespace="5deb1624-fe9f-49f2-a987-0c7cd63f1c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cb3b-21ba-4e5d-b2a9-1d8adc525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99cb6b-338b-40df-977f-5850f2850f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b1624-fe9f-49f2-a987-0c7cd63f1c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041e6fd-a6cb-4917-9d59-ddffdb3ae248}" ma:internalName="TaxCatchAll" ma:showField="CatchAllData" ma:web="5deb1624-fe9f-49f2-a987-0c7cd63f1c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deb1624-fe9f-49f2-a987-0c7cd63f1cb6" xsi:nil="true"/>
    <lcf76f155ced4ddcb4097134ff3c332f xmlns="eb32cb3b-21ba-4e5d-b2a9-1d8adc5253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55C29B-870F-4AB2-A359-517C52A0450C}">
  <ds:schemaRefs>
    <ds:schemaRef ds:uri="http://schemas.microsoft.com/sharepoint/v3/contenttype/forms"/>
  </ds:schemaRefs>
</ds:datastoreItem>
</file>

<file path=customXml/itemProps2.xml><?xml version="1.0" encoding="utf-8"?>
<ds:datastoreItem xmlns:ds="http://schemas.openxmlformats.org/officeDocument/2006/customXml" ds:itemID="{688E7565-A0AB-4AEC-9A1C-BDA1DE18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cb3b-21ba-4e5d-b2a9-1d8adc525388"/>
    <ds:schemaRef ds:uri="5deb1624-fe9f-49f2-a987-0c7cd63f1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0FE35-4F7F-45CC-A4DC-402BF524DB5D}">
  <ds:schemaRefs>
    <ds:schemaRef ds:uri="http://schemas.openxmlformats.org/officeDocument/2006/bibliography"/>
  </ds:schemaRefs>
</ds:datastoreItem>
</file>

<file path=customXml/itemProps4.xml><?xml version="1.0" encoding="utf-8"?>
<ds:datastoreItem xmlns:ds="http://schemas.openxmlformats.org/officeDocument/2006/customXml" ds:itemID="{ADA17A38-EE5B-464F-B516-A2CB14CE49AC}">
  <ds:schemaRefs>
    <ds:schemaRef ds:uri="http://schemas.microsoft.com/office/2006/metadata/properties"/>
    <ds:schemaRef ds:uri="http://schemas.microsoft.com/office/infopath/2007/PartnerControls"/>
    <ds:schemaRef ds:uri="5deb1624-fe9f-49f2-a987-0c7cd63f1cb6"/>
    <ds:schemaRef ds:uri="eb32cb3b-21ba-4e5d-b2a9-1d8adc525388"/>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Tarini</dc:creator>
  <cp:keywords/>
  <dc:description/>
  <cp:lastModifiedBy>Natalie Tarini</cp:lastModifiedBy>
  <cp:revision>70</cp:revision>
  <dcterms:created xsi:type="dcterms:W3CDTF">2024-11-13T19:15:00Z</dcterms:created>
  <dcterms:modified xsi:type="dcterms:W3CDTF">2025-01-07T19:40:00Z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0x0101009682B31E6796A148A1F8AA101799813F</vt:lpwstr>
  </property>
  <property fmtid="{D5CDD505-2E9C-101B-9397-08002B2CF9AE}" pid="3" name="MediaServiceImageTags">
    <vt:lpwstr/>
  </property>
</Properties>
</file>